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36CF45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778E47ED" w:rsidR="006F4B2B" w:rsidRDefault="00363750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SÁBADO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406D7"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425A82" w:rsidRPr="00425A82"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6FF9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 PARA O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E6D9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092B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4E6D9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NEM </w:t>
      </w:r>
      <w:r w:rsidR="004A4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5811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4A42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8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811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8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BA52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2</w:t>
      </w:r>
      <w:r w:rsidR="00BA523B" w:rsidRP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ª DISCUSSÃO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E VOTAÇÃO</w:t>
      </w:r>
      <w:r w:rsidR="00BA523B" w:rsidRP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O PROJETO DE LEI </w:t>
      </w:r>
      <w:r w:rsidR="00A10E56" w:rsidRP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Nº 06/2024 QUE DISPÕE SOBRE A REVISÃO GERAL ANUAL, PREVISTA NO ART. 37, X, DA CONSTITUIÇÃO FEDERAL E DÁ OUTRAS PROVIDENCIAS</w:t>
      </w:r>
      <w:r w:rsid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. </w:t>
      </w:r>
      <w:r w:rsidR="00A10E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O SENHOR P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RESIDENTE </w:t>
      </w:r>
      <w:r w:rsidR="00A10E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APROVADO POR UNANIMIDADE DOS PRESENTES E COLOCA EM 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ª DISCUSSÃO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E VOTAÇÃO</w:t>
      </w:r>
      <w:r w:rsidR="00A10E56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O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A10E56" w:rsidRPr="00092BD2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07/2024</w:t>
      </w:r>
      <w:r w:rsidR="00A10E56" w:rsidRP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0E56" w:rsidRP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QUE DISPÕE SOBRE A ADEQUAÇÃO DO PLANO DE CARREIRA E REMUNERAÇÃO DO MAGISTÉRIO PÚBLICO DO MUNICÍPIO DE ITABAIANINHA AO PISO SALARIAL PROFISSIONAL PARA OS PROFISSIONAIS DO MAGISTÉRIO PÚBLICO DA EDUCAÇÃO BÁSICA E DÁ PROVIDENCIAS CORRELATAS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DE70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DE70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APROVADA POR UNANIMIDADE DOS PRESENTES E COLOCA EM 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2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ª DISCUSSÃO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E VOTAÇÃO O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E702F" w:rsidRPr="00092BD2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PROJETO DE LEI Nº 08/2024</w:t>
      </w:r>
      <w:r w:rsidR="00DE702F" w:rsidRP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E702F" w:rsidRP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QUE ALTERA A TABELA DE VENCIMENTOS NO ANEXO II, DA LEI COMPLEMENTAR Nº 826, DE 30 DE DEZEMBRO DE 2009, DESMEMBRADA PELA LEI 927, DE 08 DE SETEMBRO DE 2014, E DÁ OUTRAS PROVIDENCIAS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DE70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O SENHOR PRESIDENTE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</w:t>
      </w:r>
      <w:r w:rsidR="00DE70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APROVADO POR UNANIMIDADE DOS PRESENTES E COLOCA EM 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2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ª DISCUSSÃO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E VOTAÇÃO</w:t>
      </w:r>
      <w:r w:rsid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O PROJETO DE LEI </w:t>
      </w:r>
      <w:r w:rsidR="00DE702F" w:rsidRPr="00092BD2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COMPLEMENTAR Nº 09/2024</w:t>
      </w:r>
      <w:r w:rsidR="00DE702F" w:rsidRPr="00363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E702F" w:rsidRP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QUE DISPÕE SOBRE A ADEQUAÇÃO DA TABELA DE VALORES DOS CARGOS EFETIVOS DA SUPERINTENDÊNCIA MUNICIPAL DE TRANSPORTE </w:t>
      </w:r>
      <w:r w:rsidR="00DE702F" w:rsidRPr="00DE702F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lastRenderedPageBreak/>
        <w:t>TRÂNSITO DE ITABAIANINHA (SMTT)</w:t>
      </w:r>
      <w:r w:rsidR="0022742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O SENHOR PRESIDENTE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ECLARA APROVADO POR UNANIMIDADE DOS PRESENTES E COLOCA EM</w:t>
      </w:r>
      <w:r w:rsid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2</w:t>
      </w:r>
      <w:r w:rsidR="0022742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ª DISCUSSÃO</w:t>
      </w:r>
      <w:r w:rsidR="004E6D93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E VOTAÇÃO</w:t>
      </w:r>
      <w:r w:rsidR="0022742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O PROJETO DE LEI Nº 10/2024</w:t>
      </w:r>
      <w:r w:rsidR="0022742A" w:rsidRP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42A" w:rsidRPr="0022742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QUE INSTITUI O CALENDÁRIO ESPORTIVO ANUAL DO MUNICÍPIO DE ITABAIANINHA PARA O EXERCÍCIO DE 2024 E DÁ PROVIDENCIAS CORRELATAS</w:t>
      </w:r>
      <w:r w:rsidR="0022742A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. </w:t>
      </w:r>
      <w:r w:rsidR="00227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O SENHOR PRESIDENTE</w:t>
      </w:r>
      <w:r w:rsidR="004E6D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10F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UNANIMIDADE DOS PRESENTES</w:t>
      </w:r>
      <w:r w:rsidR="00810F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 </w:t>
      </w:r>
      <w:r w:rsidR="005E12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810F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5E124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4E4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DESIGNANDO UMA SESSÃO</w:t>
      </w:r>
      <w:r w:rsidR="00810F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810F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7777777" w:rsidR="0098370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228D43E" w14:textId="77777777" w:rsidR="0098370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E4C1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E4C1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E4C1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BD2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2742A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750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B7D5E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4C1F"/>
    <w:rsid w:val="004E6859"/>
    <w:rsid w:val="004E6B63"/>
    <w:rsid w:val="004E6D9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110E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B738C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0F1C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0E56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3A80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523B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02F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6C3B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C08E-A579-45AE-A6B3-417568A3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2024-04-10T18:00:00Z</cp:lastPrinted>
  <dcterms:created xsi:type="dcterms:W3CDTF">2024-04-10T18:02:00Z</dcterms:created>
  <dcterms:modified xsi:type="dcterms:W3CDTF">2024-04-10T18:02:00Z</dcterms:modified>
</cp:coreProperties>
</file>